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/>
      </w:pPr>
      <w:r>
        <w:rPr/>
        <w:drawing>
          <wp:inline distT="0" distB="0" distL="0" distR="0">
            <wp:extent cx="6031230" cy="547370"/>
            <wp:effectExtent l="0" t="0" r="0" b="0"/>
            <wp:docPr id="1" name="Obraz 8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14"/>
        </w:rPr>
        <w:t xml:space="preserve"> </w:t>
      </w:r>
    </w:p>
    <w:p>
      <w:pPr>
        <w:pStyle w:val="Normal"/>
        <w:spacing w:lineRule="auto" w:line="240" w:before="0" w:after="103"/>
        <w:ind w:left="29" w:hanging="0"/>
        <w:jc w:val="right"/>
        <w:rPr/>
      </w:pPr>
      <w:r>
        <w:rPr>
          <w:rFonts w:eastAsia="Times New Roman" w:cs="Times New Roman" w:ascii="Times New Roman" w:hAnsi="Times New Roman"/>
          <w:sz w:val="14"/>
        </w:rPr>
        <w:t xml:space="preserve"> </w:t>
      </w:r>
      <w:r>
        <w:rPr/>
        <w:t xml:space="preserve"> </w:t>
      </w:r>
      <w:r>
        <w:rPr/>
        <w:tab/>
        <w:t xml:space="preserve"> </w:t>
        <w:tab/>
        <w:t xml:space="preserve">       Pińczów, </w:t>
      </w:r>
      <w:r>
        <w:rPr/>
        <w:t>11.01.</w:t>
      </w:r>
      <w:r>
        <w:rPr/>
        <w:t>202</w:t>
      </w:r>
      <w:r>
        <w:rPr/>
        <w:t>1</w:t>
      </w:r>
      <w:r>
        <w:rPr/>
        <w:t xml:space="preserve"> r.  </w:t>
      </w:r>
      <w:r>
        <w:rPr>
          <w:rFonts w:eastAsia="" w:eastAsiaTheme="minorEastAsia"/>
          <w:color w:val="auto"/>
          <w:szCs w:val="24"/>
        </w:rPr>
        <w:t xml:space="preserve"> </w:t>
      </w:r>
    </w:p>
    <w:p>
      <w:pPr>
        <w:pStyle w:val="Wcicietrecitekstu"/>
        <w:spacing w:lineRule="auto" w:line="240" w:before="360" w:after="120"/>
        <w:ind w:left="284" w:hanging="0"/>
        <w:jc w:val="center"/>
        <w:rPr>
          <w:b/>
          <w:b/>
          <w:bCs/>
        </w:rPr>
      </w:pPr>
      <w:r>
        <w:rPr>
          <w:b/>
          <w:bCs/>
        </w:rPr>
        <w:t>Dotyczy przetargu: NR SPRAWY ZOZ/ZP/7/10/2020</w:t>
      </w:r>
    </w:p>
    <w:p>
      <w:pPr>
        <w:pStyle w:val="Wcicietrecitekstu"/>
        <w:spacing w:lineRule="auto" w:line="240" w:before="0" w:after="240"/>
        <w:ind w:left="284" w:hanging="0"/>
        <w:jc w:val="center"/>
        <w:rPr>
          <w:b/>
          <w:b/>
          <w:bCs/>
          <w:color w:val="111111"/>
          <w:highlight w:val="white"/>
        </w:rPr>
      </w:pPr>
      <w:r>
        <w:rPr>
          <w:b/>
          <w:bCs/>
          <w:color w:val="111111"/>
          <w:shd w:fill="FFFFFF" w:val="clear"/>
        </w:rPr>
        <w:t>Dostawa i wdrożenie infrastruktury serwerowej i sieciowej oraz oprogramowania dla Szpitalnego Systemu Informatycznego (SSI) dla Zespołu Opieki Zdrowotnej w Pińczowie.</w:t>
      </w:r>
    </w:p>
    <w:p>
      <w:pPr>
        <w:pStyle w:val="Wcicietrecitekstu"/>
        <w:spacing w:lineRule="auto" w:line="240"/>
        <w:ind w:left="283" w:hanging="0"/>
        <w:jc w:val="center"/>
        <w:rPr>
          <w:b/>
          <w:b/>
          <w:bCs/>
          <w:color w:val="111111"/>
          <w:szCs w:val="24"/>
          <w:highlight w:val="white"/>
        </w:rPr>
      </w:pPr>
      <w:r>
        <w:rPr>
          <w:b/>
          <w:bCs/>
          <w:color w:val="111111"/>
          <w:shd w:fill="FFFFFF" w:val="clear"/>
        </w:rPr>
        <w:t xml:space="preserve">INFORMACJA </w:t>
      </w:r>
      <w:r>
        <w:rPr>
          <w:b/>
          <w:bCs/>
          <w:szCs w:val="24"/>
        </w:rPr>
        <w:t>O WYBORZE NAJKORZYSTNIEJSZEJ OFERTY</w:t>
      </w:r>
    </w:p>
    <w:p>
      <w:pPr>
        <w:pStyle w:val="Wcicietrecitekstu"/>
        <w:spacing w:lineRule="auto" w:line="240" w:before="0" w:after="360"/>
        <w:ind w:left="284" w:hanging="0"/>
        <w:jc w:val="center"/>
        <w:rPr>
          <w:b/>
          <w:b/>
          <w:bCs/>
        </w:rPr>
      </w:pPr>
      <w:r>
        <w:rPr>
          <w:b/>
          <w:bCs/>
          <w:color w:val="111111"/>
          <w:shd w:fill="FFFFFF" w:val="clear"/>
        </w:rPr>
        <w:t xml:space="preserve">W ZAKRESIE CZĘŚCI NR 1 – DOSTAWA I WDROŻENIE </w:t>
      </w:r>
    </w:p>
    <w:p>
      <w:pPr>
        <w:pStyle w:val="Normal"/>
        <w:spacing w:lineRule="auto" w:line="240" w:before="0" w:after="0"/>
        <w:ind w:left="0" w:hanging="0"/>
        <w:jc w:val="left"/>
        <w:rPr>
          <w:sz w:val="22"/>
        </w:rPr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  <w:b/>
        </w:rPr>
        <w:tab/>
      </w:r>
      <w:r>
        <w:rPr>
          <w:sz w:val="22"/>
        </w:rPr>
        <w:t>Działając na mocy art. 92 ust. 1 pkt 1) ustawy z dnia 2</w:t>
      </w:r>
      <w:bookmarkStart w:id="0" w:name="_GoBack"/>
      <w:bookmarkEnd w:id="0"/>
      <w:r>
        <w:rPr>
          <w:sz w:val="22"/>
        </w:rPr>
        <w:t xml:space="preserve">9 stycznia 2004 r. – Prawo zamówień publicznych (Dz. U. 2019, poz. 1843 ze zm.), zwanej dalej ustawą Pzp, Zamawiający informuje, że dla Części 1 postępowania, </w:t>
      </w:r>
      <w:r>
        <w:rPr>
          <w:kern w:val="2"/>
          <w:sz w:val="22"/>
        </w:rPr>
        <w:t xml:space="preserve">jako najkorzystniejsza wybrana została </w:t>
      </w:r>
      <w:r>
        <w:rPr>
          <w:b/>
          <w:kern w:val="2"/>
          <w:sz w:val="22"/>
        </w:rPr>
        <w:t xml:space="preserve">oferta </w:t>
      </w:r>
      <w:r>
        <w:rPr>
          <w:sz w:val="22"/>
        </w:rPr>
        <w:t>Wykonawcy: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color w:val="auto"/>
          <w:sz w:val="22"/>
        </w:rPr>
      </w:pPr>
      <w:r>
        <w:rPr>
          <w:b/>
          <w:sz w:val="22"/>
        </w:rPr>
        <w:t>Atende Medica Sp. z o.o.</w:t>
      </w:r>
    </w:p>
    <w:p>
      <w:pPr>
        <w:pStyle w:val="Normal"/>
        <w:spacing w:lineRule="auto" w:line="240" w:before="0" w:after="0"/>
        <w:ind w:left="0" w:hanging="0"/>
        <w:rPr>
          <w:sz w:val="22"/>
        </w:rPr>
      </w:pPr>
      <w:r>
        <w:rPr>
          <w:bCs/>
          <w:sz w:val="22"/>
        </w:rPr>
        <w:t>Al. Wilanowska 313</w:t>
      </w:r>
    </w:p>
    <w:p>
      <w:pPr>
        <w:pStyle w:val="Normal"/>
        <w:spacing w:lineRule="auto" w:line="240" w:before="0" w:after="0"/>
        <w:ind w:left="0" w:hanging="0"/>
        <w:rPr>
          <w:bCs/>
          <w:sz w:val="22"/>
          <w:lang w:val="en-US"/>
        </w:rPr>
      </w:pPr>
      <w:r>
        <w:rPr>
          <w:bCs/>
          <w:sz w:val="22"/>
        </w:rPr>
        <w:t>02-665 Warszawa</w:t>
      </w:r>
      <w:r>
        <w:rPr>
          <w:bCs/>
          <w:sz w:val="22"/>
          <w:lang w:val="en-US"/>
        </w:rPr>
        <w:t xml:space="preserve"> </w:t>
      </w:r>
    </w:p>
    <w:p>
      <w:pPr>
        <w:pStyle w:val="Normal"/>
        <w:spacing w:lineRule="auto" w:line="240" w:before="0" w:after="0"/>
        <w:ind w:left="0" w:hanging="0"/>
        <w:rPr>
          <w:bCs/>
          <w:sz w:val="22"/>
          <w:lang w:val="en-US"/>
        </w:rPr>
      </w:pPr>
      <w:r>
        <w:rPr>
          <w:bCs/>
          <w:sz w:val="22"/>
          <w:lang w:val="en-US"/>
        </w:rPr>
        <w:t>Cena: 1 315 290 zł brutto</w:t>
      </w:r>
    </w:p>
    <w:p>
      <w:pPr>
        <w:pStyle w:val="Normal"/>
        <w:spacing w:lineRule="auto" w:line="240" w:before="0" w:after="0"/>
        <w:ind w:left="0" w:hanging="0"/>
        <w:rPr>
          <w:bCs/>
          <w:sz w:val="22"/>
        </w:rPr>
      </w:pPr>
      <w:r>
        <w:rPr>
          <w:bCs/>
          <w:sz w:val="22"/>
        </w:rPr>
        <w:t>Liczba punktów:</w:t>
      </w:r>
    </w:p>
    <w:p>
      <w:pPr>
        <w:pStyle w:val="Normal"/>
        <w:spacing w:lineRule="auto" w:line="240" w:before="0" w:after="0"/>
        <w:ind w:left="0" w:hanging="0"/>
        <w:rPr>
          <w:bCs/>
          <w:sz w:val="22"/>
        </w:rPr>
      </w:pPr>
      <w:r>
        <w:rPr>
          <w:bCs/>
          <w:sz w:val="22"/>
        </w:rPr>
        <w:t>Cena – 60 pkt</w:t>
      </w:r>
    </w:p>
    <w:p>
      <w:pPr>
        <w:pStyle w:val="Normal"/>
        <w:spacing w:lineRule="auto" w:line="240" w:before="0" w:after="0"/>
        <w:ind w:left="0" w:hanging="0"/>
        <w:rPr>
          <w:bCs/>
          <w:sz w:val="22"/>
        </w:rPr>
      </w:pPr>
      <w:r>
        <w:rPr>
          <w:bCs/>
          <w:sz w:val="22"/>
        </w:rPr>
        <w:t>Skrócenie czasu naprawy dla macierzy głównej – 20 pkt</w:t>
      </w:r>
    </w:p>
    <w:p>
      <w:pPr>
        <w:pStyle w:val="Normal"/>
        <w:spacing w:lineRule="auto" w:line="240" w:before="0" w:after="0"/>
        <w:ind w:left="0" w:hanging="0"/>
        <w:rPr>
          <w:bCs/>
          <w:sz w:val="22"/>
        </w:rPr>
      </w:pPr>
      <w:r>
        <w:rPr>
          <w:bCs/>
          <w:sz w:val="22"/>
        </w:rPr>
        <w:t>Koszt licencji silnika bazodanowego – 20 pkt</w:t>
      </w:r>
    </w:p>
    <w:p>
      <w:pPr>
        <w:pStyle w:val="Normal"/>
        <w:spacing w:lineRule="auto" w:line="240" w:before="0" w:after="120"/>
        <w:ind w:left="0" w:hanging="0"/>
        <w:rPr>
          <w:bCs/>
          <w:sz w:val="22"/>
        </w:rPr>
      </w:pPr>
      <w:r>
        <w:rPr>
          <w:bCs/>
          <w:sz w:val="22"/>
        </w:rPr>
        <w:t>Łączna liczba punktów: 100</w:t>
      </w:r>
    </w:p>
    <w:p>
      <w:pPr>
        <w:pStyle w:val="Normal"/>
        <w:spacing w:lineRule="auto" w:line="240" w:before="0" w:after="0"/>
        <w:ind w:left="352" w:hanging="352"/>
        <w:rPr>
          <w:sz w:val="22"/>
        </w:rPr>
      </w:pPr>
      <w:r>
        <w:rPr>
          <w:sz w:val="22"/>
        </w:rPr>
        <w:t>Uzasadnienie wyboru:</w:t>
      </w:r>
    </w:p>
    <w:p>
      <w:pPr>
        <w:pStyle w:val="Normal"/>
        <w:spacing w:lineRule="auto" w:line="240" w:before="0" w:after="0"/>
        <w:ind w:left="0" w:hanging="0"/>
        <w:rPr>
          <w:sz w:val="22"/>
        </w:rPr>
      </w:pPr>
      <w:r>
        <w:rPr>
          <w:sz w:val="22"/>
        </w:rPr>
        <w:t>Oferta najkorzystniejsza dla Części nr 1 wybrana została zgodnie z art. 91 ust. 1 ustawy Pzp na podstawie kryteriów oceny ofert określonych w Specyfikacji Istotnych Warunków Zamówienia (dalej: SIWZ), którymi były: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Cena - waga kryterium - 60%,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426"/>
        <w:rPr>
          <w:rFonts w:ascii="Calibri" w:hAnsi="Calibri" w:cs="Calibri" w:asciiTheme="minorHAnsi" w:cstheme="minorHAnsi" w:hAnsiTheme="minorHAnsi"/>
          <w:bCs/>
        </w:rPr>
      </w:pPr>
      <w:r>
        <w:rPr>
          <w:bCs/>
        </w:rPr>
        <w:t xml:space="preserve">Skrócenie czasu naprawy dla macierzy głównej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 xml:space="preserve">waga kryterium - </w:t>
      </w:r>
      <w:r>
        <w:rPr>
          <w:rFonts w:cs="Calibri" w:cstheme="minorHAnsi"/>
          <w:bCs/>
        </w:rPr>
        <w:t>20%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426"/>
        <w:rPr>
          <w:rFonts w:ascii="Calibri" w:hAnsi="Calibri" w:cs="Calibri" w:asciiTheme="minorHAnsi" w:cstheme="minorHAnsi" w:hAnsiTheme="minorHAnsi"/>
          <w:bCs/>
        </w:rPr>
      </w:pPr>
      <w:r>
        <w:rPr>
          <w:bCs/>
        </w:rPr>
        <w:t>Koszt licencji silnika bazodanowego</w:t>
      </w:r>
      <w:r>
        <w:rPr>
          <w:rFonts w:cs="Calibri" w:cstheme="minorHAnsi"/>
          <w:bCs/>
        </w:rPr>
        <w:t xml:space="preserve"> – </w:t>
      </w:r>
      <w:r>
        <w:rPr>
          <w:rFonts w:cs="Calibri" w:cstheme="minorHAnsi"/>
        </w:rPr>
        <w:t xml:space="preserve">waga kryterium - </w:t>
      </w:r>
      <w:r>
        <w:rPr>
          <w:rFonts w:cs="Calibri" w:cstheme="minorHAnsi"/>
          <w:bCs/>
        </w:rPr>
        <w:t>20%</w:t>
      </w:r>
    </w:p>
    <w:p>
      <w:pPr>
        <w:pStyle w:val="Normal"/>
        <w:spacing w:lineRule="auto" w:line="240" w:before="0" w:after="120"/>
        <w:ind w:left="0"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/>
          <w:sz w:val="22"/>
        </w:rPr>
        <w:t>W postępowaniu została złożona jedna oferta, która otrzymała maksymalną liczbę punktów - 100 pkt, obliczoną zgodnie ze wzorem określonym w rozdziale XIII SIWZ.</w:t>
      </w:r>
    </w:p>
    <w:p>
      <w:pPr>
        <w:pStyle w:val="Normal"/>
        <w:tabs>
          <w:tab w:val="clear" w:pos="708"/>
          <w:tab w:val="right" w:pos="10206" w:leader="none"/>
        </w:tabs>
        <w:spacing w:lineRule="auto" w:line="240"/>
        <w:ind w:left="0" w:hanging="0"/>
        <w:rPr>
          <w:bCs/>
          <w:sz w:val="22"/>
        </w:rPr>
      </w:pPr>
      <w:r>
        <w:rPr>
          <w:bCs/>
          <w:sz w:val="22"/>
        </w:rPr>
        <w:t xml:space="preserve">Ponadto Zamawiający przedstawia nazwy (firmy), siedziby i adresy wykonawców, którzy złożyli oferty, a także punktację przyznaną ofertom w każdym kryterium oceny ofert i łączną punktację:      </w:t>
      </w:r>
    </w:p>
    <w:tbl>
      <w:tblPr>
        <w:tblW w:w="97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79"/>
        <w:gridCol w:w="1405"/>
        <w:gridCol w:w="1559"/>
        <w:gridCol w:w="1843"/>
        <w:gridCol w:w="1559"/>
        <w:gridCol w:w="1135"/>
      </w:tblGrid>
      <w:tr>
        <w:trPr>
          <w:trHeight w:val="558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 xml:space="preserve">Nazwa (firma) </w:t>
              <w:br/>
              <w:t>i adres wykonawcy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 xml:space="preserve">Liczba </w:t>
              <w:br/>
              <w:t>punktów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21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w kryterium „cena”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 xml:space="preserve">Liczba </w:t>
              <w:br/>
              <w:t>punktów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w kryterium „</w:t>
            </w:r>
            <w:r>
              <w:rPr>
                <w:b/>
                <w:sz w:val="18"/>
                <w:szCs w:val="18"/>
              </w:rPr>
              <w:t>Skrócenie czasu naprawy dla macierzy głównej</w:t>
            </w: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 xml:space="preserve">Liczba </w:t>
              <w:br/>
              <w:t>punktów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w kryterium „</w:t>
            </w:r>
            <w:r>
              <w:rPr>
                <w:b/>
                <w:sz w:val="18"/>
                <w:szCs w:val="18"/>
              </w:rPr>
              <w:t>Koszt licencji silnika bazodanowego</w:t>
            </w: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Łączna liczba punktów</w:t>
            </w:r>
          </w:p>
        </w:tc>
      </w:tr>
      <w:tr>
        <w:trPr>
          <w:trHeight w:val="278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Atende Medica Sp. z o.o.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Al. Wilanowska 313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sz w:val="22"/>
                <w:lang w:val="en-US"/>
              </w:rPr>
            </w:pPr>
            <w:r>
              <w:rPr>
                <w:bCs/>
                <w:sz w:val="20"/>
                <w:szCs w:val="20"/>
              </w:rPr>
              <w:t>02-665 Warszawa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1 315 290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147"/>
              <w:jc w:val="center"/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w w:val="9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147"/>
              <w:jc w:val="center"/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w w:val="9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147"/>
              <w:jc w:val="center"/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w w:val="9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147"/>
              <w:jc w:val="center"/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w w:val="90"/>
                <w:sz w:val="20"/>
                <w:szCs w:val="20"/>
              </w:rPr>
              <w:t>100</w:t>
            </w:r>
          </w:p>
        </w:tc>
      </w:tr>
    </w:tbl>
    <w:p>
      <w:pPr>
        <w:pStyle w:val="Normal"/>
        <w:spacing w:lineRule="auto" w:line="240" w:before="120" w:after="0"/>
        <w:ind w:left="0" w:hanging="0"/>
        <w:rPr>
          <w:rFonts w:ascii="Calibri" w:hAnsi="Calibri" w:cs="Calibri" w:asciiTheme="minorHAnsi" w:cstheme="minorHAnsi" w:hAnsiTheme="minorHAnsi"/>
          <w:bCs/>
          <w:sz w:val="22"/>
        </w:rPr>
      </w:pPr>
      <w:r>
        <w:rPr>
          <w:rFonts w:cs="Calibri" w:cstheme="minorHAnsi"/>
          <w:b/>
          <w:sz w:val="22"/>
        </w:rPr>
        <w:t>Termin, po którego upływie mo</w:t>
      </w:r>
      <w:r>
        <w:rPr>
          <w:rFonts w:eastAsia="Arial,Bold" w:cs="Calibri" w:cstheme="minorHAnsi"/>
          <w:b/>
          <w:sz w:val="22"/>
        </w:rPr>
        <w:t>ż</w:t>
      </w:r>
      <w:r>
        <w:rPr>
          <w:rFonts w:cs="Calibri" w:cstheme="minorHAnsi"/>
          <w:b/>
          <w:sz w:val="22"/>
        </w:rPr>
        <w:t>e by</w:t>
      </w:r>
      <w:r>
        <w:rPr>
          <w:rFonts w:eastAsia="Arial,Bold" w:cs="Calibri" w:cstheme="minorHAnsi"/>
          <w:b/>
          <w:sz w:val="22"/>
        </w:rPr>
        <w:t xml:space="preserve">ć </w:t>
      </w:r>
      <w:r>
        <w:rPr>
          <w:rFonts w:cs="Calibri" w:cstheme="minorHAnsi"/>
          <w:b/>
          <w:sz w:val="22"/>
        </w:rPr>
        <w:t>zawarta umowa w sprawie zamówienia publicznego</w:t>
      </w:r>
      <w:r>
        <w:rPr>
          <w:rFonts w:cs="Calibri" w:cstheme="minorHAnsi"/>
          <w:bCs/>
          <w:sz w:val="22"/>
        </w:rPr>
        <w:t xml:space="preserve"> - zgodny z art. 94 ust. 2 pkt 1) lit. a) ustawy Pzp.</w:t>
      </w:r>
    </w:p>
    <w:p>
      <w:pPr>
        <w:pStyle w:val="Normal"/>
        <w:widowControl w:val="false"/>
        <w:shd w:val="clear" w:color="auto" w:fill="FFFFFF"/>
        <w:spacing w:lineRule="auto" w:line="240"/>
        <w:ind w:left="0" w:hanging="0"/>
        <w:jc w:val="right"/>
        <w:rPr/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/>
        <w:ind w:left="0" w:hanging="0"/>
        <w:jc w:val="right"/>
        <w:rPr/>
      </w:pPr>
      <w:r>
        <w:rPr/>
        <w:t>Dyrektor ZOZ w Pińczowie</w:t>
      </w:r>
    </w:p>
    <w:p>
      <w:pPr>
        <w:pStyle w:val="Normal"/>
        <w:widowControl w:val="false"/>
        <w:shd w:val="clear" w:color="auto" w:fill="FFFFFF"/>
        <w:spacing w:lineRule="auto" w:line="240" w:before="0" w:after="147"/>
        <w:ind w:left="0" w:hanging="0"/>
        <w:jc w:val="right"/>
        <w:rPr/>
      </w:pPr>
      <w:r>
        <w:rPr/>
        <w:t>Krzysztof Słonina</w:t>
      </w:r>
    </w:p>
    <w:sectPr>
      <w:footerReference w:type="default" r:id="rId3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9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eastAsia="zh-CN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 LibreOffice_project/1ec314fa52f458adc18c4f025c545a4e8b22c159</Application>
  <Pages>1</Pages>
  <Words>315</Words>
  <Characters>1774</Characters>
  <CharactersWithSpaces>2082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2021-01-08T11:08:00Z</dcterms:created>
  <dc:creator>lidskr</dc:creator>
  <dc:description/>
  <dc:language>pl-PL</dc:language>
  <cp:lastModifiedBy/>
  <dcterms:modified xsi:type="dcterms:W3CDTF">2021-01-08T12:42:17Z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